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4E5F" w:rsidRPr="004B7E17" w:rsidRDefault="00C45A63" w:rsidP="00994E5F">
      <w:pPr>
        <w:widowControl w:val="0"/>
        <w:tabs>
          <w:tab w:val="right" w:pos="9639"/>
          <w:tab w:val="right" w:pos="13323"/>
        </w:tabs>
        <w:spacing w:after="0"/>
        <w:jc w:val="both"/>
        <w:rPr>
          <w:rFonts w:ascii="Arial" w:hAnsi="Arial" w:cs="Arial"/>
          <w:b/>
          <w:noProof/>
          <w:sz w:val="24"/>
          <w:szCs w:val="24"/>
          <w:lang w:eastAsia="ja-JP"/>
        </w:rPr>
      </w:pPr>
      <w:r w:rsidRPr="00C45A63">
        <w:rPr>
          <w:rFonts w:ascii="Arial" w:hAnsi="Arial" w:cs="Arial"/>
          <w:b/>
          <w:noProof/>
          <w:sz w:val="24"/>
          <w:szCs w:val="24"/>
        </w:rPr>
        <w:t>3GPPRAN4#8</w:t>
      </w:r>
      <w:r w:rsidR="0091121A">
        <w:rPr>
          <w:rFonts w:ascii="Arial" w:hAnsi="Arial" w:cs="Arial"/>
          <w:b/>
          <w:noProof/>
          <w:sz w:val="24"/>
          <w:szCs w:val="24"/>
        </w:rPr>
        <w:t>8</w:t>
      </w:r>
      <w:r w:rsidR="002F6324">
        <w:rPr>
          <w:rFonts w:ascii="Arial" w:hAnsi="Arial" w:cs="Arial"/>
          <w:b/>
          <w:noProof/>
          <w:sz w:val="24"/>
          <w:szCs w:val="24"/>
        </w:rPr>
        <w:t>-Bis</w:t>
      </w:r>
      <w:r w:rsidR="00994E5F" w:rsidRPr="004B7E17">
        <w:rPr>
          <w:rFonts w:ascii="Arial" w:hAnsi="Arial" w:cs="Arial"/>
          <w:b/>
          <w:noProof/>
          <w:sz w:val="24"/>
          <w:szCs w:val="24"/>
        </w:rPr>
        <w:tab/>
      </w:r>
      <w:r w:rsidR="00C548A9">
        <w:rPr>
          <w:rFonts w:ascii="Arial" w:hAnsi="Arial" w:cs="Arial"/>
          <w:b/>
          <w:bCs/>
          <w:color w:val="808080"/>
          <w:sz w:val="26"/>
          <w:szCs w:val="26"/>
        </w:rPr>
        <w:t>R4-1813604</w:t>
      </w:r>
      <w:bookmarkStart w:id="0" w:name="_GoBack"/>
      <w:bookmarkEnd w:id="0"/>
    </w:p>
    <w:p w:rsidR="00994E5F" w:rsidRDefault="002F6324" w:rsidP="00994E5F">
      <w:pPr>
        <w:pStyle w:val="Footer"/>
        <w:jc w:val="both"/>
        <w:rPr>
          <w:i w:val="0"/>
          <w:noProof w:val="0"/>
          <w:sz w:val="24"/>
          <w:szCs w:val="24"/>
          <w:lang w:eastAsia="ja-JP"/>
        </w:rPr>
      </w:pPr>
      <w:r>
        <w:rPr>
          <w:rFonts w:eastAsia="SimSun"/>
          <w:i w:val="0"/>
          <w:noProof w:val="0"/>
          <w:sz w:val="24"/>
          <w:szCs w:val="24"/>
        </w:rPr>
        <w:t>Chengdu</w:t>
      </w:r>
      <w:r w:rsidR="00994E5F">
        <w:rPr>
          <w:i w:val="0"/>
          <w:noProof w:val="0"/>
          <w:sz w:val="24"/>
          <w:szCs w:val="24"/>
          <w:lang w:eastAsia="ja-JP"/>
        </w:rPr>
        <w:t xml:space="preserve">, </w:t>
      </w:r>
      <w:r>
        <w:rPr>
          <w:i w:val="0"/>
          <w:noProof w:val="0"/>
          <w:sz w:val="24"/>
          <w:szCs w:val="24"/>
          <w:lang w:eastAsia="ja-JP"/>
        </w:rPr>
        <w:t>China</w:t>
      </w:r>
      <w:r w:rsidR="002E04DB">
        <w:rPr>
          <w:i w:val="0"/>
          <w:noProof w:val="0"/>
          <w:sz w:val="24"/>
          <w:szCs w:val="24"/>
          <w:lang w:eastAsia="ja-JP"/>
        </w:rPr>
        <w:t xml:space="preserve"> </w:t>
      </w:r>
      <w:r>
        <w:rPr>
          <w:i w:val="0"/>
          <w:noProof w:val="0"/>
          <w:sz w:val="24"/>
          <w:szCs w:val="24"/>
          <w:lang w:eastAsia="ja-JP"/>
        </w:rPr>
        <w:t>Oct</w:t>
      </w:r>
      <w:r w:rsidR="00D17DE3">
        <w:rPr>
          <w:i w:val="0"/>
          <w:noProof w:val="0"/>
          <w:sz w:val="24"/>
          <w:szCs w:val="24"/>
          <w:lang w:eastAsia="ja-JP"/>
        </w:rPr>
        <w:t xml:space="preserve"> </w:t>
      </w:r>
      <w:r>
        <w:rPr>
          <w:i w:val="0"/>
          <w:noProof w:val="0"/>
          <w:sz w:val="24"/>
          <w:szCs w:val="24"/>
          <w:lang w:eastAsia="ja-JP"/>
        </w:rPr>
        <w:t>8</w:t>
      </w:r>
      <w:r w:rsidR="0091121A">
        <w:rPr>
          <w:i w:val="0"/>
          <w:noProof w:val="0"/>
          <w:sz w:val="24"/>
          <w:szCs w:val="24"/>
          <w:vertAlign w:val="superscript"/>
          <w:lang w:eastAsia="ja-JP"/>
        </w:rPr>
        <w:t>th</w:t>
      </w:r>
      <w:r w:rsidR="00994E5F">
        <w:rPr>
          <w:i w:val="0"/>
          <w:noProof w:val="0"/>
          <w:sz w:val="24"/>
          <w:szCs w:val="24"/>
          <w:lang w:eastAsia="ja-JP"/>
        </w:rPr>
        <w:t>-</w:t>
      </w:r>
      <w:r w:rsidR="00CB78AA">
        <w:rPr>
          <w:i w:val="0"/>
          <w:noProof w:val="0"/>
          <w:sz w:val="24"/>
          <w:szCs w:val="24"/>
          <w:lang w:eastAsia="ja-JP"/>
        </w:rPr>
        <w:t xml:space="preserve"> </w:t>
      </w:r>
      <w:r>
        <w:rPr>
          <w:i w:val="0"/>
          <w:noProof w:val="0"/>
          <w:sz w:val="24"/>
          <w:szCs w:val="24"/>
          <w:lang w:eastAsia="ja-JP"/>
        </w:rPr>
        <w:t>12</w:t>
      </w:r>
      <w:r w:rsidR="002E04DB" w:rsidRPr="002E04DB">
        <w:rPr>
          <w:i w:val="0"/>
          <w:noProof w:val="0"/>
          <w:sz w:val="24"/>
          <w:szCs w:val="24"/>
          <w:vertAlign w:val="superscript"/>
          <w:lang w:eastAsia="ja-JP"/>
        </w:rPr>
        <w:t>th</w:t>
      </w:r>
      <w:r w:rsidR="00994E5F" w:rsidRPr="004B7E17">
        <w:rPr>
          <w:i w:val="0"/>
          <w:noProof w:val="0"/>
          <w:sz w:val="24"/>
          <w:szCs w:val="24"/>
          <w:lang w:eastAsia="ja-JP"/>
        </w:rPr>
        <w:t>, 201</w:t>
      </w:r>
      <w:r w:rsidR="00D17DE3">
        <w:rPr>
          <w:i w:val="0"/>
          <w:noProof w:val="0"/>
          <w:sz w:val="24"/>
          <w:szCs w:val="24"/>
          <w:lang w:eastAsia="ja-JP"/>
        </w:rPr>
        <w:t>8</w:t>
      </w:r>
    </w:p>
    <w:p w:rsidR="005E74BD" w:rsidRDefault="005E74BD" w:rsidP="007377BF">
      <w:pPr>
        <w:pStyle w:val="Footer"/>
        <w:jc w:val="both"/>
        <w:rPr>
          <w:noProof w:val="0"/>
        </w:rPr>
      </w:pPr>
    </w:p>
    <w:p w:rsidR="007377BF" w:rsidRPr="00A510C0" w:rsidRDefault="007377BF" w:rsidP="007377BF">
      <w:pPr>
        <w:tabs>
          <w:tab w:val="left" w:pos="1985"/>
        </w:tabs>
        <w:ind w:left="1980" w:hanging="1980"/>
        <w:jc w:val="both"/>
        <w:rPr>
          <w:rFonts w:ascii="Arial" w:eastAsia="SimSun" w:hAnsi="Arial"/>
          <w:sz w:val="24"/>
          <w:lang w:eastAsia="zh-CN"/>
        </w:rPr>
      </w:pPr>
      <w:r w:rsidRPr="0091121A">
        <w:rPr>
          <w:rFonts w:ascii="Arial" w:hAnsi="Arial"/>
          <w:b/>
          <w:sz w:val="24"/>
        </w:rPr>
        <w:t xml:space="preserve">Title: </w:t>
      </w:r>
      <w:r w:rsidRPr="0091121A">
        <w:rPr>
          <w:rFonts w:ascii="Arial" w:hAnsi="Arial"/>
          <w:b/>
          <w:sz w:val="24"/>
        </w:rPr>
        <w:tab/>
      </w:r>
      <w:r w:rsidR="002F6324">
        <w:rPr>
          <w:rFonts w:ascii="Arial" w:hAnsi="Arial"/>
          <w:b/>
          <w:sz w:val="24"/>
        </w:rPr>
        <w:t>Further Discussion on SCell Activation</w:t>
      </w:r>
    </w:p>
    <w:p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7377BF" w:rsidRPr="00272D66" w:rsidRDefault="007377BF" w:rsidP="0009047F">
      <w:pPr>
        <w:tabs>
          <w:tab w:val="left" w:pos="1985"/>
        </w:tabs>
        <w:ind w:left="1980" w:hanging="1980"/>
        <w:jc w:val="both"/>
        <w:rPr>
          <w:rFonts w:ascii="Arial" w:hAnsi="Arial" w:cs="Arial"/>
          <w:b/>
          <w:sz w:val="24"/>
          <w:szCs w:val="24"/>
        </w:rPr>
      </w:pPr>
      <w:r w:rsidRPr="00D372E9">
        <w:rPr>
          <w:rFonts w:ascii="Arial" w:hAnsi="Arial"/>
          <w:b/>
          <w:sz w:val="24"/>
        </w:rPr>
        <w:t>Agenda item:</w:t>
      </w:r>
      <w:r w:rsidRPr="00D372E9">
        <w:rPr>
          <w:rFonts w:ascii="Arial" w:hAnsi="Arial"/>
          <w:b/>
          <w:sz w:val="24"/>
        </w:rPr>
        <w:tab/>
      </w:r>
      <w:r w:rsidR="00C548A9" w:rsidRPr="00C548A9">
        <w:rPr>
          <w:rFonts w:ascii="Arial" w:hAnsi="Arial" w:cs="Arial"/>
          <w:b/>
          <w:sz w:val="24"/>
          <w:szCs w:val="24"/>
        </w:rPr>
        <w:t>7.11.7.3</w:t>
      </w:r>
      <w:r w:rsidR="00C548A9" w:rsidRPr="00C548A9">
        <w:rPr>
          <w:rFonts w:ascii="Arial" w:hAnsi="Arial" w:cs="Arial"/>
          <w:b/>
          <w:sz w:val="24"/>
          <w:szCs w:val="24"/>
        </w:rPr>
        <w:tab/>
        <w:t xml:space="preserve">SCell activation and deactivation delay </w:t>
      </w:r>
      <w:r w:rsidR="00A31117" w:rsidRPr="00A31117">
        <w:rPr>
          <w:rFonts w:ascii="Arial" w:hAnsi="Arial" w:cs="Arial"/>
          <w:b/>
          <w:sz w:val="24"/>
          <w:szCs w:val="24"/>
        </w:rPr>
        <w:t>[NR_newRAT-Core]</w:t>
      </w:r>
    </w:p>
    <w:p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0091121A">
        <w:rPr>
          <w:rFonts w:ascii="Arial" w:eastAsia="SimSun" w:hAnsi="Arial"/>
          <w:b/>
          <w:sz w:val="24"/>
          <w:lang w:eastAsia="zh-CN"/>
        </w:rPr>
        <w:t>Approval</w:t>
      </w:r>
    </w:p>
    <w:p w:rsidR="007377BF" w:rsidRDefault="00352C4D">
      <w:r>
        <w:pict>
          <v:rect id="_x0000_i1025" style="width:0;height:1.5pt" o:hralign="center" o:hrstd="t" o:hr="t" fillcolor="#a0a0a0" stroked="f"/>
        </w:pict>
      </w:r>
    </w:p>
    <w:p w:rsidR="00E15948" w:rsidRPr="00E15948" w:rsidRDefault="00E15948" w:rsidP="00E15948">
      <w:pPr>
        <w:pStyle w:val="Heading1"/>
      </w:pPr>
      <w:r w:rsidRPr="00E15948">
        <w:t>Introduction</w:t>
      </w:r>
    </w:p>
    <w:p w:rsidR="007377BF" w:rsidRDefault="00603A52">
      <w:r>
        <w:t>In RAN4#8</w:t>
      </w:r>
      <w:r w:rsidR="00020571">
        <w:t>7, we agreed on SCell activation timeline for FR1</w:t>
      </w:r>
      <w:r w:rsidR="00D17DE3">
        <w:t>.</w:t>
      </w:r>
      <w:r w:rsidR="00020571">
        <w:t xml:space="preserve"> </w:t>
      </w:r>
      <w:r w:rsidR="002F6324">
        <w:t xml:space="preserve">However, in the current specification does not capture the UE time for CQI/CSF processing. In this contribution we propose to add the time for UE CQI processing. We also </w:t>
      </w:r>
      <w:r w:rsidR="00020571">
        <w:t xml:space="preserve">provide our view on Scell activation timeline for FR2. </w:t>
      </w:r>
      <w:r w:rsidR="00D17DE3">
        <w:t xml:space="preserve"> </w:t>
      </w:r>
    </w:p>
    <w:p w:rsidR="00E15948" w:rsidRDefault="00E15948" w:rsidP="00E15948">
      <w:pPr>
        <w:pStyle w:val="Heading1"/>
      </w:pPr>
      <w:r>
        <w:t>Discussion</w:t>
      </w:r>
    </w:p>
    <w:p w:rsidR="008A2940" w:rsidRDefault="004B0F62" w:rsidP="008A2940">
      <w:pPr>
        <w:pStyle w:val="Heading2"/>
      </w:pPr>
      <w:r>
        <w:t>Scell Activation Timeline</w:t>
      </w:r>
      <w:r w:rsidR="00451554">
        <w:t xml:space="preserve"> in </w:t>
      </w:r>
      <w:r w:rsidR="00020571">
        <w:t>FR1</w:t>
      </w:r>
    </w:p>
    <w:p w:rsidR="00C2177A" w:rsidRDefault="00020571" w:rsidP="00C2177A">
      <w:r>
        <w:t>In RAN4#87 we agreed to the following timeline for SCell activation in FR1</w:t>
      </w:r>
    </w:p>
    <w:p w:rsidR="00020571" w:rsidRPr="00020571" w:rsidRDefault="00020571" w:rsidP="00020571">
      <w:pPr>
        <w:rPr>
          <w:i/>
        </w:rPr>
      </w:pPr>
      <w:r w:rsidRPr="00020571">
        <w:rPr>
          <w:i/>
        </w:rPr>
        <w:t>Upon receiving SCG SCell activation command in slot n, the UE shall be capable to transmit valid CSI report and apply actions related to the activation command for the SCell being activated no later than in slot n+ [T</w:t>
      </w:r>
      <w:r w:rsidRPr="00715BDF">
        <w:rPr>
          <w:i/>
          <w:vertAlign w:val="subscript"/>
        </w:rPr>
        <w:t>HARQ</w:t>
      </w:r>
      <w:r w:rsidRPr="00020571">
        <w:rPr>
          <w:i/>
        </w:rPr>
        <w:t xml:space="preserve"> + T</w:t>
      </w:r>
      <w:r w:rsidRPr="00715BDF">
        <w:rPr>
          <w:i/>
          <w:vertAlign w:val="subscript"/>
        </w:rPr>
        <w:t>activation_time</w:t>
      </w:r>
      <w:r w:rsidRPr="00020571">
        <w:rPr>
          <w:i/>
        </w:rPr>
        <w:t xml:space="preserve"> + T</w:t>
      </w:r>
      <w:r w:rsidRPr="00715BDF">
        <w:rPr>
          <w:i/>
          <w:vertAlign w:val="subscript"/>
        </w:rPr>
        <w:t>CSI_</w:t>
      </w:r>
      <w:r w:rsidR="00F94A2D" w:rsidRPr="00715BDF">
        <w:rPr>
          <w:i/>
          <w:vertAlign w:val="subscript"/>
        </w:rPr>
        <w:t>Reporting</w:t>
      </w:r>
      <w:r w:rsidR="00F94A2D" w:rsidRPr="00020571">
        <w:rPr>
          <w:i/>
        </w:rPr>
        <w:t>]</w:t>
      </w:r>
      <w:r w:rsidRPr="00020571">
        <w:rPr>
          <w:i/>
        </w:rPr>
        <w:t xml:space="preserve"> </w:t>
      </w:r>
    </w:p>
    <w:p w:rsidR="00020571" w:rsidRPr="00020571" w:rsidRDefault="00020571" w:rsidP="00020571">
      <w:pPr>
        <w:rPr>
          <w:i/>
        </w:rPr>
      </w:pPr>
      <w:r w:rsidRPr="00020571">
        <w:rPr>
          <w:i/>
        </w:rPr>
        <w:t>Where:</w:t>
      </w:r>
    </w:p>
    <w:p w:rsidR="00020571" w:rsidRPr="00020571" w:rsidRDefault="00020571" w:rsidP="00020571">
      <w:pPr>
        <w:rPr>
          <w:i/>
        </w:rPr>
      </w:pPr>
      <w:r w:rsidRPr="00020571">
        <w:rPr>
          <w:i/>
        </w:rPr>
        <w:t xml:space="preserve">THARQ is the timing between DL data transmission and acknowledgement as specified in [7].  </w:t>
      </w:r>
    </w:p>
    <w:p w:rsidR="00020571" w:rsidRPr="00020571" w:rsidRDefault="00020571" w:rsidP="00020571">
      <w:pPr>
        <w:rPr>
          <w:i/>
        </w:rPr>
      </w:pPr>
      <w:r w:rsidRPr="00020571">
        <w:rPr>
          <w:i/>
        </w:rPr>
        <w:t>T</w:t>
      </w:r>
      <w:r w:rsidRPr="00715BDF">
        <w:rPr>
          <w:i/>
          <w:vertAlign w:val="subscript"/>
        </w:rPr>
        <w:t>activation_time</w:t>
      </w:r>
      <w:r w:rsidRPr="00020571">
        <w:rPr>
          <w:i/>
        </w:rPr>
        <w:t xml:space="preserve"> is the SCell activation delay. If the SCell is </w:t>
      </w:r>
      <w:r w:rsidR="00916DA1" w:rsidRPr="00020571">
        <w:rPr>
          <w:i/>
        </w:rPr>
        <w:t>known and</w:t>
      </w:r>
      <w:r w:rsidRPr="00020571">
        <w:rPr>
          <w:i/>
        </w:rPr>
        <w:t xml:space="preserve"> belongs to FR1, T</w:t>
      </w:r>
      <w:r w:rsidRPr="00715BDF">
        <w:rPr>
          <w:i/>
          <w:vertAlign w:val="subscript"/>
        </w:rPr>
        <w:t>activation_time</w:t>
      </w:r>
      <w:r w:rsidRPr="00020571">
        <w:rPr>
          <w:i/>
        </w:rPr>
        <w:t xml:space="preserve"> is:</w:t>
      </w:r>
    </w:p>
    <w:p w:rsidR="00020571" w:rsidRPr="00020571" w:rsidRDefault="00020571" w:rsidP="00020571">
      <w:pPr>
        <w:rPr>
          <w:i/>
        </w:rPr>
      </w:pPr>
      <w:r w:rsidRPr="00020571">
        <w:rPr>
          <w:i/>
        </w:rPr>
        <w:t>-</w:t>
      </w:r>
      <w:r w:rsidRPr="00020571">
        <w:rPr>
          <w:i/>
        </w:rPr>
        <w:tab/>
        <w:t>[3ms+ 1*SMTC periodicity+4*OFDM symbol], if the SCell measurement cycle is equal to or smaller than [160ms].</w:t>
      </w:r>
    </w:p>
    <w:p w:rsidR="00020571" w:rsidRPr="00020571" w:rsidRDefault="00020571" w:rsidP="00020571">
      <w:pPr>
        <w:rPr>
          <w:i/>
        </w:rPr>
      </w:pPr>
      <w:r w:rsidRPr="00020571">
        <w:rPr>
          <w:i/>
        </w:rPr>
        <w:t>-</w:t>
      </w:r>
      <w:r w:rsidRPr="00020571">
        <w:rPr>
          <w:i/>
        </w:rPr>
        <w:tab/>
        <w:t>[3ms+2*SMTC periodicity+4*OFDM symbol], if the SCell measurement cycle is larger than [160ms].</w:t>
      </w:r>
    </w:p>
    <w:p w:rsidR="00020571" w:rsidRPr="00020571" w:rsidRDefault="00020571" w:rsidP="00020571">
      <w:pPr>
        <w:rPr>
          <w:i/>
        </w:rPr>
      </w:pPr>
      <w:r w:rsidRPr="00020571">
        <w:rPr>
          <w:i/>
        </w:rPr>
        <w:t>If the SCell is unknown and belongs to FR1, T</w:t>
      </w:r>
      <w:r w:rsidRPr="00715BDF">
        <w:rPr>
          <w:i/>
          <w:vertAlign w:val="subscript"/>
        </w:rPr>
        <w:t>activation_time</w:t>
      </w:r>
      <w:r w:rsidRPr="00020571">
        <w:rPr>
          <w:i/>
        </w:rPr>
        <w:t xml:space="preserve"> is:</w:t>
      </w:r>
    </w:p>
    <w:p w:rsidR="00020571" w:rsidRDefault="00020571" w:rsidP="00020571">
      <w:pPr>
        <w:rPr>
          <w:i/>
        </w:rPr>
      </w:pPr>
      <w:r w:rsidRPr="00020571">
        <w:rPr>
          <w:i/>
        </w:rPr>
        <w:t>-</w:t>
      </w:r>
      <w:r w:rsidRPr="00020571">
        <w:rPr>
          <w:i/>
        </w:rPr>
        <w:tab/>
        <w:t>[3ms+ 4*SMTC periodicity+4*OFDM symbol] provided the SCell can be successfully detected on the first attempt.</w:t>
      </w:r>
    </w:p>
    <w:p w:rsidR="002F6324" w:rsidRDefault="002F6324" w:rsidP="002F6324">
      <w:pPr>
        <w:rPr>
          <w:i/>
        </w:rPr>
      </w:pPr>
    </w:p>
    <w:p w:rsidR="002F6324" w:rsidRPr="001F21E0" w:rsidRDefault="002F6324" w:rsidP="002F6324">
      <w:r w:rsidRPr="001F21E0">
        <w:lastRenderedPageBreak/>
        <w:t>T</w:t>
      </w:r>
      <w:r w:rsidRPr="001F21E0">
        <w:rPr>
          <w:vertAlign w:val="subscript"/>
        </w:rPr>
        <w:t>CSI_reporting</w:t>
      </w:r>
      <w:r w:rsidRPr="001F21E0">
        <w:t xml:space="preserve"> is the delay uncertainty in acquiring the first available CSI reporting resources as specified in [2].</w:t>
      </w:r>
    </w:p>
    <w:p w:rsidR="00F24FBD" w:rsidRDefault="00CA4F62" w:rsidP="00020571">
      <w:r>
        <w:t xml:space="preserve">The above refers to </w:t>
      </w:r>
      <w:r w:rsidR="00F24FBD">
        <w:t xml:space="preserve">38.331 and only includes the timing uncertainty in getting the reporting resource and not the actual UE processing time for CSI reporting. </w:t>
      </w:r>
      <w:r w:rsidR="00AF09B3">
        <w:t>For Scell activation the UE needs to use the aperiodic processing of CSI.</w:t>
      </w:r>
    </w:p>
    <w:p w:rsidR="00F24FBD" w:rsidRPr="00020571" w:rsidRDefault="00F24FBD" w:rsidP="00020571">
      <w:r w:rsidRPr="00F24FBD">
        <w:rPr>
          <w:b/>
        </w:rPr>
        <w:t>Proposal 1</w:t>
      </w:r>
      <w:r>
        <w:t>: Scell activation time should include UE processing time for C</w:t>
      </w:r>
      <w:r w:rsidR="00AF09B3">
        <w:t>SI</w:t>
      </w:r>
      <w:r>
        <w:t xml:space="preserve"> reporting.</w:t>
      </w:r>
      <w:r w:rsidR="00AF09B3">
        <w:t xml:space="preserve"> This time should be the aperiodic CSI processing as captured in Section 5.4 of 38.214</w:t>
      </w:r>
      <w:r>
        <w:t xml:space="preserve"> </w:t>
      </w:r>
    </w:p>
    <w:p w:rsidR="00451554" w:rsidRDefault="00451554" w:rsidP="00451554">
      <w:pPr>
        <w:pStyle w:val="Heading2"/>
      </w:pPr>
      <w:r>
        <w:t xml:space="preserve">SCell Activation in </w:t>
      </w:r>
      <w:r w:rsidR="00020571">
        <w:t>F</w:t>
      </w:r>
      <w:r>
        <w:t>R</w:t>
      </w:r>
      <w:r w:rsidR="00020571">
        <w:t>2</w:t>
      </w:r>
    </w:p>
    <w:p w:rsidR="00451554" w:rsidRDefault="00451554" w:rsidP="00451554"/>
    <w:p w:rsidR="00020571" w:rsidRDefault="00020571" w:rsidP="00451554">
      <w:r>
        <w:t xml:space="preserve">For FR2, we could re-use the formulation and some of the associated times from FR1, </w:t>
      </w:r>
    </w:p>
    <w:p w:rsidR="00020571" w:rsidRDefault="00715BDF" w:rsidP="00451554">
      <w:r>
        <w:t>Even in FR2, the Scell activation command should consist of the following parts</w:t>
      </w:r>
    </w:p>
    <w:p w:rsidR="00715BDF" w:rsidRDefault="00715BDF" w:rsidP="00451554">
      <w:r>
        <w:t>-T</w:t>
      </w:r>
      <w:r w:rsidRPr="00715BDF">
        <w:rPr>
          <w:vertAlign w:val="subscript"/>
        </w:rPr>
        <w:t>HARQ</w:t>
      </w:r>
    </w:p>
    <w:p w:rsidR="00715BDF" w:rsidRDefault="00715BDF" w:rsidP="00451554">
      <w:r>
        <w:t>-T</w:t>
      </w:r>
      <w:r w:rsidRPr="00715BDF">
        <w:rPr>
          <w:vertAlign w:val="subscript"/>
        </w:rPr>
        <w:t>activaiton_time</w:t>
      </w:r>
    </w:p>
    <w:p w:rsidR="00715BDF" w:rsidRDefault="00715BDF" w:rsidP="00451554">
      <w:r>
        <w:t>-T</w:t>
      </w:r>
      <w:r w:rsidRPr="00715BDF">
        <w:rPr>
          <w:vertAlign w:val="subscript"/>
        </w:rPr>
        <w:t>CSI_reporting</w:t>
      </w:r>
    </w:p>
    <w:p w:rsidR="003B7C8A" w:rsidRDefault="003B7C8A" w:rsidP="0048709C"/>
    <w:p w:rsidR="003B7C8A" w:rsidRDefault="003B7C8A" w:rsidP="0048709C">
      <w:r w:rsidRPr="003B7C8A">
        <w:rPr>
          <w:b/>
        </w:rPr>
        <w:t>Proposal 1</w:t>
      </w:r>
      <w:r>
        <w:t>: For FR2, re-use the SCell activation timeline definition from FR1</w:t>
      </w:r>
    </w:p>
    <w:p w:rsidR="003B7C8A" w:rsidRPr="00020571" w:rsidRDefault="003B7C8A" w:rsidP="003B7C8A">
      <w:pPr>
        <w:rPr>
          <w:i/>
        </w:rPr>
      </w:pPr>
      <w:r w:rsidRPr="00020571">
        <w:rPr>
          <w:i/>
        </w:rPr>
        <w:t>Upon receiving SCG SCell activation command in slot n, the UE shall be capable to transmit valid CSI report and apply actions related to the activation command for the SCell being activated no later than in slot n+ [T</w:t>
      </w:r>
      <w:r w:rsidRPr="00715BDF">
        <w:rPr>
          <w:i/>
          <w:vertAlign w:val="subscript"/>
        </w:rPr>
        <w:t>HARQ</w:t>
      </w:r>
      <w:r w:rsidRPr="00020571">
        <w:rPr>
          <w:i/>
        </w:rPr>
        <w:t xml:space="preserve"> + T</w:t>
      </w:r>
      <w:r w:rsidRPr="00715BDF">
        <w:rPr>
          <w:i/>
          <w:vertAlign w:val="subscript"/>
        </w:rPr>
        <w:t>activation_time</w:t>
      </w:r>
      <w:r w:rsidRPr="00020571">
        <w:rPr>
          <w:i/>
        </w:rPr>
        <w:t xml:space="preserve"> + T</w:t>
      </w:r>
      <w:r w:rsidRPr="00715BDF">
        <w:rPr>
          <w:i/>
          <w:vertAlign w:val="subscript"/>
        </w:rPr>
        <w:t>CSI_Reporting</w:t>
      </w:r>
      <w:r w:rsidRPr="00020571">
        <w:rPr>
          <w:i/>
        </w:rPr>
        <w:t xml:space="preserve">] </w:t>
      </w:r>
    </w:p>
    <w:p w:rsidR="003B7C8A" w:rsidRDefault="003377BA" w:rsidP="0048709C">
      <w:r>
        <w:t>For T</w:t>
      </w:r>
      <w:r w:rsidRPr="00715BDF">
        <w:rPr>
          <w:vertAlign w:val="subscript"/>
        </w:rPr>
        <w:t>HARQ</w:t>
      </w:r>
      <w:r>
        <w:t xml:space="preserve"> and T</w:t>
      </w:r>
      <w:r w:rsidRPr="00715BDF">
        <w:rPr>
          <w:vertAlign w:val="subscript"/>
        </w:rPr>
        <w:t>CSI_reporting</w:t>
      </w:r>
      <w:r>
        <w:t xml:space="preserve">, we should follow the RAN1 agreements. </w:t>
      </w:r>
    </w:p>
    <w:p w:rsidR="00715BDF" w:rsidRDefault="00715BDF" w:rsidP="0048709C">
      <w:r>
        <w:t>The open item then is how long should T</w:t>
      </w:r>
      <w:r w:rsidRPr="00715BDF">
        <w:rPr>
          <w:vertAlign w:val="subscript"/>
        </w:rPr>
        <w:t>activation_time</w:t>
      </w:r>
      <w:r>
        <w:t xml:space="preserve"> be. Similar to what was there in FR1, this needs to include time for MAC-CE message decode and application, AGC settling, search and timing refinement if needed. </w:t>
      </w:r>
    </w:p>
    <w:p w:rsidR="00715BDF" w:rsidRDefault="00715BDF" w:rsidP="0048709C">
      <w:r>
        <w:t xml:space="preserve">For MAC-CE message decode and application, once again, we can reuse the RAN1 agreement of 3ms. </w:t>
      </w:r>
    </w:p>
    <w:p w:rsidR="003B7C8A" w:rsidRDefault="00715BDF" w:rsidP="0048709C">
      <w:r>
        <w:t>In FR1, we Scell activation timeline was split between known and unknown. The UE needed fewer nu</w:t>
      </w:r>
      <w:r w:rsidR="00916DA1">
        <w:t>m</w:t>
      </w:r>
      <w:r>
        <w:t>ber of SSB samples to refine timing for a known cell. For FR2, we have not been able to agree upon a definition of known cell.  However, we can split the activation of Scell, based on whether it is intra-band to an already active c</w:t>
      </w:r>
      <w:r w:rsidR="003B7C8A">
        <w:t xml:space="preserve">ell. </w:t>
      </w:r>
      <w:r>
        <w:t>In the case, whe</w:t>
      </w:r>
      <w:r w:rsidR="00916DA1">
        <w:t>n there</w:t>
      </w:r>
      <w:r>
        <w:t xml:space="preserve"> already </w:t>
      </w:r>
      <w:r w:rsidR="00916DA1">
        <w:t>exists an</w:t>
      </w:r>
      <w:r>
        <w:t xml:space="preserve"> active intra-band cell (either PScell or another SCell), UE can re-use the timing information from that cell</w:t>
      </w:r>
      <w:r w:rsidR="00441CA2">
        <w:t xml:space="preserve">. In this case, it should not need any more SSB’s for search or timing refinement. </w:t>
      </w:r>
      <w:r w:rsidR="00BC2CEE">
        <w:t xml:space="preserve">Also, since the base stations for intra-band are assumed to be co-located, the UE should not need any samples for AGC either. </w:t>
      </w:r>
      <w:r w:rsidR="0030524C">
        <w:t xml:space="preserve">This is under the assumption that the PSD on each of the cell would be the same. </w:t>
      </w:r>
      <w:r w:rsidR="002F6324">
        <w:t xml:space="preserve">For testing purposes, it can be assumed that the SSB’s of the Scell being activated </w:t>
      </w:r>
    </w:p>
    <w:p w:rsidR="003B7C8A" w:rsidRDefault="003B7C8A" w:rsidP="0048709C">
      <w:r w:rsidRPr="003B7C8A">
        <w:rPr>
          <w:b/>
        </w:rPr>
        <w:lastRenderedPageBreak/>
        <w:t>Observation 1</w:t>
      </w:r>
      <w:r>
        <w:t xml:space="preserve">: If there is an already active cell in the same band as the new Scell being activate, the UE can re-use the AGC and timing information from the already active cell. </w:t>
      </w:r>
    </w:p>
    <w:p w:rsidR="003377BA" w:rsidRDefault="003377BA" w:rsidP="0048709C">
      <w:r>
        <w:t xml:space="preserve">For a UE that has multiple active cells in the same band in FR2, each cell should be using the same beams (Rx and Tx). Thus, the TCI states configured for the UE for </w:t>
      </w:r>
      <w:r w:rsidR="00BC2CEE">
        <w:t>every</w:t>
      </w:r>
      <w:r>
        <w:t xml:space="preserve"> cell</w:t>
      </w:r>
      <w:r w:rsidR="00BC2CEE">
        <w:t xml:space="preserve"> in the same band </w:t>
      </w:r>
      <w:r>
        <w:t xml:space="preserve">should be the same. In case of different TCI states, the UE behavior will be undefined. </w:t>
      </w:r>
    </w:p>
    <w:p w:rsidR="003377BA" w:rsidRDefault="003377BA" w:rsidP="0048709C">
      <w:r w:rsidRPr="003377BA">
        <w:rPr>
          <w:b/>
        </w:rPr>
        <w:t>Proposal 2</w:t>
      </w:r>
      <w:r>
        <w:t xml:space="preserve">: For intra-band cells in FR2, the UE should be configured with the same TCI state in each cell. Else the UE behavior will be undefined. </w:t>
      </w:r>
    </w:p>
    <w:p w:rsidR="000D6A3E" w:rsidRDefault="00441CA2" w:rsidP="00717B5A">
      <w:r>
        <w:t xml:space="preserve">In case the Scell is the first cell being activated in that band, the UE will need to do a beam sweep to find the best beam pair for activation. </w:t>
      </w:r>
      <w:r w:rsidR="003B7C8A">
        <w:t xml:space="preserve">The activation time here will also depend on TCI state configured and </w:t>
      </w:r>
      <w:r w:rsidR="003377BA">
        <w:t xml:space="preserve">the procedure with the select the UL beams. This still requires further study.  </w:t>
      </w:r>
    </w:p>
    <w:p w:rsidR="003C4BDB" w:rsidRDefault="003C4BDB" w:rsidP="00717B5A">
      <w:r w:rsidRPr="003C4BDB">
        <w:rPr>
          <w:b/>
        </w:rPr>
        <w:t xml:space="preserve">Proposal </w:t>
      </w:r>
      <w:r w:rsidR="003377BA">
        <w:rPr>
          <w:b/>
        </w:rPr>
        <w:t>3</w:t>
      </w:r>
      <w:r>
        <w:t>:</w:t>
      </w:r>
      <w:r w:rsidR="00717B5A">
        <w:t xml:space="preserve"> </w:t>
      </w:r>
      <w:r>
        <w:t>The number of samples (SSB or TRS) needed for SCell activation is given as follows</w:t>
      </w:r>
    </w:p>
    <w:tbl>
      <w:tblPr>
        <w:tblStyle w:val="TableGrid"/>
        <w:tblW w:w="0" w:type="auto"/>
        <w:tblLook w:val="04A0" w:firstRow="1" w:lastRow="0" w:firstColumn="1" w:lastColumn="0" w:noHBand="0" w:noVBand="1"/>
      </w:tblPr>
      <w:tblGrid>
        <w:gridCol w:w="5125"/>
        <w:gridCol w:w="3690"/>
      </w:tblGrid>
      <w:tr w:rsidR="00441CA2" w:rsidTr="00441CA2">
        <w:tc>
          <w:tcPr>
            <w:tcW w:w="5125" w:type="dxa"/>
          </w:tcPr>
          <w:p w:rsidR="00441CA2" w:rsidRDefault="00441CA2" w:rsidP="00717B5A">
            <w:r>
              <w:t>Scenario</w:t>
            </w:r>
          </w:p>
        </w:tc>
        <w:tc>
          <w:tcPr>
            <w:tcW w:w="3690" w:type="dxa"/>
          </w:tcPr>
          <w:p w:rsidR="00441CA2" w:rsidRDefault="00441CA2" w:rsidP="00717B5A">
            <w:r>
              <w:t>Number of samples</w:t>
            </w:r>
          </w:p>
        </w:tc>
      </w:tr>
      <w:tr w:rsidR="00441CA2" w:rsidTr="00441CA2">
        <w:tc>
          <w:tcPr>
            <w:tcW w:w="5125" w:type="dxa"/>
          </w:tcPr>
          <w:p w:rsidR="00441CA2" w:rsidRDefault="00441CA2" w:rsidP="00717B5A">
            <w:r>
              <w:t>Scell is in the same band as another active cell</w:t>
            </w:r>
          </w:p>
        </w:tc>
        <w:tc>
          <w:tcPr>
            <w:tcW w:w="3690" w:type="dxa"/>
          </w:tcPr>
          <w:p w:rsidR="00441CA2" w:rsidRDefault="00441CA2" w:rsidP="00717B5A">
            <w:r>
              <w:t>0</w:t>
            </w:r>
          </w:p>
        </w:tc>
      </w:tr>
      <w:tr w:rsidR="00441CA2" w:rsidTr="00441CA2">
        <w:tc>
          <w:tcPr>
            <w:tcW w:w="5125" w:type="dxa"/>
          </w:tcPr>
          <w:p w:rsidR="00441CA2" w:rsidRDefault="00441CA2" w:rsidP="00717B5A">
            <w:r>
              <w:t>Otherwise</w:t>
            </w:r>
          </w:p>
        </w:tc>
        <w:tc>
          <w:tcPr>
            <w:tcW w:w="3690" w:type="dxa"/>
          </w:tcPr>
          <w:p w:rsidR="00441CA2" w:rsidRDefault="003B7C8A" w:rsidP="00717B5A">
            <w:r>
              <w:t>TBD</w:t>
            </w:r>
          </w:p>
        </w:tc>
      </w:tr>
    </w:tbl>
    <w:p w:rsidR="00717B5A" w:rsidRDefault="003C4BDB" w:rsidP="00717B5A">
      <w:r>
        <w:t xml:space="preserve"> </w:t>
      </w:r>
    </w:p>
    <w:p w:rsidR="003C4BDB" w:rsidRDefault="00DA5C94" w:rsidP="0048709C">
      <w:r>
        <w:t xml:space="preserve">Note that since the above assumes that there will be no samples used for AGC, RAN4 will need to mandate that PSD of the cell getting activated is the same as that of the already active cells in that band. This requirement makes sense from deployment scenarios too where base stations are assumed to be co-located. </w:t>
      </w:r>
    </w:p>
    <w:p w:rsidR="003C4BDB" w:rsidRDefault="0030524C" w:rsidP="0048709C">
      <w:r>
        <w:t>Combining the above proposals, we get the following for intra-band case.</w:t>
      </w:r>
    </w:p>
    <w:p w:rsidR="0030524C" w:rsidRPr="0030524C" w:rsidRDefault="0030524C" w:rsidP="0030524C">
      <w:r w:rsidRPr="0030524C">
        <w:rPr>
          <w:b/>
        </w:rPr>
        <w:t>Proposal 4</w:t>
      </w:r>
      <w:r>
        <w:t xml:space="preserve">: For a cell being activated in a band where there is an already active cell, and where the TCI state of the cell being activated is the same as that of already active cells, if the UE receives the Scell activation command </w:t>
      </w:r>
      <w:r w:rsidRPr="0030524C">
        <w:t>in slot n, the UE shall be capable to transmit valid CSI report and apply actions related to the activation command for the SCell being activated no later than in slot n+ [T</w:t>
      </w:r>
      <w:r w:rsidRPr="0030524C">
        <w:rPr>
          <w:vertAlign w:val="subscript"/>
        </w:rPr>
        <w:t>HARQ</w:t>
      </w:r>
      <w:r w:rsidRPr="0030524C">
        <w:t xml:space="preserve"> + </w:t>
      </w:r>
      <w:r>
        <w:t>3ms</w:t>
      </w:r>
      <w:r w:rsidRPr="0030524C">
        <w:t xml:space="preserve"> + T</w:t>
      </w:r>
      <w:r w:rsidRPr="0030524C">
        <w:rPr>
          <w:vertAlign w:val="subscript"/>
        </w:rPr>
        <w:t>CSI_Reporting</w:t>
      </w:r>
      <w:r w:rsidRPr="0030524C">
        <w:t xml:space="preserve">] </w:t>
      </w:r>
    </w:p>
    <w:p w:rsidR="0030524C" w:rsidRDefault="0030524C" w:rsidP="0048709C"/>
    <w:p w:rsidR="0030524C" w:rsidRDefault="0030524C" w:rsidP="0048709C"/>
    <w:p w:rsidR="006C4B0B" w:rsidRDefault="006C4B0B" w:rsidP="006C4B0B">
      <w:pPr>
        <w:pStyle w:val="Heading1"/>
      </w:pPr>
      <w:r>
        <w:t>Conclusions</w:t>
      </w:r>
    </w:p>
    <w:p w:rsidR="006C4B0B" w:rsidRDefault="006C4B0B" w:rsidP="006C4B0B"/>
    <w:p w:rsidR="00AF09B3" w:rsidRPr="00020571" w:rsidRDefault="00AF09B3" w:rsidP="00AF09B3">
      <w:r w:rsidRPr="00F24FBD">
        <w:rPr>
          <w:b/>
        </w:rPr>
        <w:t>Proposal 1</w:t>
      </w:r>
      <w:r>
        <w:t xml:space="preserve">: Scell activation time should include UE processing time for CSI reporting. This should be </w:t>
      </w:r>
      <w:r w:rsidR="00C83AD9">
        <w:t xml:space="preserve">the </w:t>
      </w:r>
      <w:r>
        <w:t xml:space="preserve">aperiodic CSI processing </w:t>
      </w:r>
      <w:r w:rsidR="00C83AD9">
        <w:t xml:space="preserve">time </w:t>
      </w:r>
      <w:r>
        <w:t xml:space="preserve">as captured in Section 5.4 of 38.214 </w:t>
      </w:r>
    </w:p>
    <w:p w:rsidR="00AF09B3" w:rsidRDefault="00AF09B3" w:rsidP="003377BA">
      <w:pPr>
        <w:rPr>
          <w:b/>
        </w:rPr>
      </w:pPr>
    </w:p>
    <w:p w:rsidR="003377BA" w:rsidRDefault="003377BA" w:rsidP="003377BA">
      <w:r w:rsidRPr="003B7C8A">
        <w:rPr>
          <w:b/>
        </w:rPr>
        <w:t xml:space="preserve">Proposal </w:t>
      </w:r>
      <w:r w:rsidR="00AF09B3">
        <w:rPr>
          <w:b/>
        </w:rPr>
        <w:t>2</w:t>
      </w:r>
      <w:r>
        <w:t>: For FR2, re-use the SCell activation timeline definition from FR1</w:t>
      </w:r>
    </w:p>
    <w:p w:rsidR="003377BA" w:rsidRPr="003377BA" w:rsidRDefault="003377BA" w:rsidP="006C4B0B">
      <w:pPr>
        <w:rPr>
          <w:i/>
        </w:rPr>
      </w:pPr>
      <w:r w:rsidRPr="00020571">
        <w:rPr>
          <w:i/>
        </w:rPr>
        <w:lastRenderedPageBreak/>
        <w:t>Upon receiving SCG SCell activation command in slot n, the UE shall be capable to transmit valid CSI report and apply actions related to the activation command for the SCell being activated no later than in slot n+ [T</w:t>
      </w:r>
      <w:r w:rsidRPr="00715BDF">
        <w:rPr>
          <w:i/>
          <w:vertAlign w:val="subscript"/>
        </w:rPr>
        <w:t>HARQ</w:t>
      </w:r>
      <w:r w:rsidRPr="00020571">
        <w:rPr>
          <w:i/>
        </w:rPr>
        <w:t xml:space="preserve"> + T</w:t>
      </w:r>
      <w:r w:rsidRPr="00715BDF">
        <w:rPr>
          <w:i/>
          <w:vertAlign w:val="subscript"/>
        </w:rPr>
        <w:t>activation_time</w:t>
      </w:r>
      <w:r w:rsidRPr="00020571">
        <w:rPr>
          <w:i/>
        </w:rPr>
        <w:t xml:space="preserve"> + T</w:t>
      </w:r>
      <w:r w:rsidRPr="00715BDF">
        <w:rPr>
          <w:i/>
          <w:vertAlign w:val="subscript"/>
        </w:rPr>
        <w:t>CSI_Reporting</w:t>
      </w:r>
      <w:r w:rsidRPr="00020571">
        <w:rPr>
          <w:i/>
        </w:rPr>
        <w:t xml:space="preserve">] </w:t>
      </w:r>
    </w:p>
    <w:p w:rsidR="003377BA" w:rsidRDefault="003377BA" w:rsidP="006C4B0B">
      <w:r w:rsidRPr="003377BA">
        <w:rPr>
          <w:b/>
        </w:rPr>
        <w:t xml:space="preserve">Proposal </w:t>
      </w:r>
      <w:r w:rsidR="00AF09B3">
        <w:rPr>
          <w:b/>
        </w:rPr>
        <w:t>3</w:t>
      </w:r>
      <w:r>
        <w:t xml:space="preserve">: For intra-band cells in FR2, the UE should be configured with the same TCI state in each cell. Else the UE behavior will be undefined. </w:t>
      </w:r>
    </w:p>
    <w:p w:rsidR="00441CA2" w:rsidRDefault="00441CA2" w:rsidP="00441CA2">
      <w:r w:rsidRPr="003C4BDB">
        <w:rPr>
          <w:b/>
        </w:rPr>
        <w:t xml:space="preserve">Proposal </w:t>
      </w:r>
      <w:r w:rsidR="00AF09B3">
        <w:rPr>
          <w:b/>
        </w:rPr>
        <w:t>4</w:t>
      </w:r>
      <w:r>
        <w:t>: The number of samples (SSB or TRS) needed for SCell activation in FR2 is given as follows</w:t>
      </w:r>
    </w:p>
    <w:tbl>
      <w:tblPr>
        <w:tblStyle w:val="TableGrid"/>
        <w:tblW w:w="0" w:type="auto"/>
        <w:tblLook w:val="04A0" w:firstRow="1" w:lastRow="0" w:firstColumn="1" w:lastColumn="0" w:noHBand="0" w:noVBand="1"/>
      </w:tblPr>
      <w:tblGrid>
        <w:gridCol w:w="5125"/>
        <w:gridCol w:w="3690"/>
      </w:tblGrid>
      <w:tr w:rsidR="00441CA2" w:rsidTr="00E12E1A">
        <w:tc>
          <w:tcPr>
            <w:tcW w:w="5125" w:type="dxa"/>
          </w:tcPr>
          <w:p w:rsidR="00441CA2" w:rsidRDefault="00441CA2" w:rsidP="00E12E1A">
            <w:r>
              <w:t>Scenario</w:t>
            </w:r>
          </w:p>
        </w:tc>
        <w:tc>
          <w:tcPr>
            <w:tcW w:w="3690" w:type="dxa"/>
          </w:tcPr>
          <w:p w:rsidR="00441CA2" w:rsidRDefault="00441CA2" w:rsidP="00E12E1A">
            <w:r>
              <w:t>Number of samples</w:t>
            </w:r>
          </w:p>
        </w:tc>
      </w:tr>
      <w:tr w:rsidR="00441CA2" w:rsidTr="00E12E1A">
        <w:tc>
          <w:tcPr>
            <w:tcW w:w="5125" w:type="dxa"/>
          </w:tcPr>
          <w:p w:rsidR="00441CA2" w:rsidRDefault="00441CA2" w:rsidP="00E12E1A">
            <w:r>
              <w:t>Scell is in the same band as another active cell</w:t>
            </w:r>
          </w:p>
        </w:tc>
        <w:tc>
          <w:tcPr>
            <w:tcW w:w="3690" w:type="dxa"/>
          </w:tcPr>
          <w:p w:rsidR="00441CA2" w:rsidRDefault="00441CA2" w:rsidP="00E12E1A">
            <w:r>
              <w:t>0</w:t>
            </w:r>
          </w:p>
        </w:tc>
      </w:tr>
      <w:tr w:rsidR="00441CA2" w:rsidTr="00E12E1A">
        <w:tc>
          <w:tcPr>
            <w:tcW w:w="5125" w:type="dxa"/>
          </w:tcPr>
          <w:p w:rsidR="00441CA2" w:rsidRDefault="00441CA2" w:rsidP="00E12E1A">
            <w:r>
              <w:t>Otherwise</w:t>
            </w:r>
          </w:p>
        </w:tc>
        <w:tc>
          <w:tcPr>
            <w:tcW w:w="3690" w:type="dxa"/>
          </w:tcPr>
          <w:p w:rsidR="00441CA2" w:rsidRDefault="003B7C8A" w:rsidP="00E12E1A">
            <w:r>
              <w:t>TBD</w:t>
            </w:r>
          </w:p>
        </w:tc>
      </w:tr>
    </w:tbl>
    <w:p w:rsidR="00441CA2" w:rsidRDefault="00441CA2" w:rsidP="00441CA2">
      <w:r>
        <w:t xml:space="preserve"> </w:t>
      </w:r>
    </w:p>
    <w:p w:rsidR="00BB1CDD" w:rsidRPr="00BB1CDD" w:rsidRDefault="00BB1CDD" w:rsidP="00BB1CDD">
      <w:r>
        <w:t xml:space="preserve"> </w:t>
      </w:r>
      <w:r w:rsidR="0030524C" w:rsidRPr="0030524C">
        <w:rPr>
          <w:b/>
        </w:rPr>
        <w:t xml:space="preserve">Proposal </w:t>
      </w:r>
      <w:r w:rsidR="00AF09B3">
        <w:rPr>
          <w:b/>
        </w:rPr>
        <w:t>5</w:t>
      </w:r>
      <w:r w:rsidR="0030524C">
        <w:t xml:space="preserve">: For a cell being activated in a band where there is an already active cell, and where the TCI state of the cell being activated is the same as that of already active cells, if the UE receives the Scell activation command </w:t>
      </w:r>
      <w:r w:rsidR="0030524C" w:rsidRPr="0030524C">
        <w:t>in slot n, the UE shall be capable to transmit valid CSI report and apply actions related to the activation command for the SCell being activated no later than in slot n+ [T</w:t>
      </w:r>
      <w:r w:rsidR="0030524C" w:rsidRPr="0030524C">
        <w:rPr>
          <w:vertAlign w:val="subscript"/>
        </w:rPr>
        <w:t>HARQ</w:t>
      </w:r>
      <w:r w:rsidR="0030524C" w:rsidRPr="0030524C">
        <w:t xml:space="preserve"> + </w:t>
      </w:r>
      <w:r w:rsidR="0030524C">
        <w:t>3ms</w:t>
      </w:r>
      <w:r w:rsidR="0030524C" w:rsidRPr="0030524C">
        <w:t xml:space="preserve"> + T</w:t>
      </w:r>
      <w:r w:rsidR="0030524C" w:rsidRPr="0030524C">
        <w:rPr>
          <w:vertAlign w:val="subscript"/>
        </w:rPr>
        <w:t>CSI_Reporting</w:t>
      </w:r>
      <w:r w:rsidR="0030524C" w:rsidRPr="0030524C">
        <w:t xml:space="preserve">] </w:t>
      </w:r>
    </w:p>
    <w:sectPr w:rsidR="00BB1CDD" w:rsidRPr="00BB1C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35A3AEE"/>
    <w:multiLevelType w:val="hybridMultilevel"/>
    <w:tmpl w:val="F978FD8A"/>
    <w:lvl w:ilvl="0" w:tplc="8F5669B4">
      <w:start w:val="1"/>
      <w:numFmt w:val="bullet"/>
      <w:lvlText w:val="•"/>
      <w:lvlJc w:val="left"/>
      <w:pPr>
        <w:tabs>
          <w:tab w:val="num" w:pos="720"/>
        </w:tabs>
        <w:ind w:left="720" w:hanging="360"/>
      </w:pPr>
      <w:rPr>
        <w:rFonts w:ascii="Arial" w:hAnsi="Arial" w:hint="default"/>
      </w:rPr>
    </w:lvl>
    <w:lvl w:ilvl="1" w:tplc="A066FFE8">
      <w:numFmt w:val="bullet"/>
      <w:lvlText w:val="•"/>
      <w:lvlJc w:val="left"/>
      <w:pPr>
        <w:tabs>
          <w:tab w:val="num" w:pos="1440"/>
        </w:tabs>
        <w:ind w:left="1440" w:hanging="360"/>
      </w:pPr>
      <w:rPr>
        <w:rFonts w:ascii="Arial" w:hAnsi="Arial" w:hint="default"/>
      </w:rPr>
    </w:lvl>
    <w:lvl w:ilvl="2" w:tplc="006A37FE">
      <w:numFmt w:val="bullet"/>
      <w:lvlText w:val="•"/>
      <w:lvlJc w:val="left"/>
      <w:pPr>
        <w:tabs>
          <w:tab w:val="num" w:pos="2160"/>
        </w:tabs>
        <w:ind w:left="2160" w:hanging="360"/>
      </w:pPr>
      <w:rPr>
        <w:rFonts w:ascii="Arial" w:hAnsi="Arial" w:hint="default"/>
      </w:rPr>
    </w:lvl>
    <w:lvl w:ilvl="3" w:tplc="6CBCDCDC" w:tentative="1">
      <w:start w:val="1"/>
      <w:numFmt w:val="bullet"/>
      <w:lvlText w:val="•"/>
      <w:lvlJc w:val="left"/>
      <w:pPr>
        <w:tabs>
          <w:tab w:val="num" w:pos="2880"/>
        </w:tabs>
        <w:ind w:left="2880" w:hanging="360"/>
      </w:pPr>
      <w:rPr>
        <w:rFonts w:ascii="Arial" w:hAnsi="Arial" w:hint="default"/>
      </w:rPr>
    </w:lvl>
    <w:lvl w:ilvl="4" w:tplc="6F8EFF30" w:tentative="1">
      <w:start w:val="1"/>
      <w:numFmt w:val="bullet"/>
      <w:lvlText w:val="•"/>
      <w:lvlJc w:val="left"/>
      <w:pPr>
        <w:tabs>
          <w:tab w:val="num" w:pos="3600"/>
        </w:tabs>
        <w:ind w:left="3600" w:hanging="360"/>
      </w:pPr>
      <w:rPr>
        <w:rFonts w:ascii="Arial" w:hAnsi="Arial" w:hint="default"/>
      </w:rPr>
    </w:lvl>
    <w:lvl w:ilvl="5" w:tplc="6A0CEB44" w:tentative="1">
      <w:start w:val="1"/>
      <w:numFmt w:val="bullet"/>
      <w:lvlText w:val="•"/>
      <w:lvlJc w:val="left"/>
      <w:pPr>
        <w:tabs>
          <w:tab w:val="num" w:pos="4320"/>
        </w:tabs>
        <w:ind w:left="4320" w:hanging="360"/>
      </w:pPr>
      <w:rPr>
        <w:rFonts w:ascii="Arial" w:hAnsi="Arial" w:hint="default"/>
      </w:rPr>
    </w:lvl>
    <w:lvl w:ilvl="6" w:tplc="4314D31E" w:tentative="1">
      <w:start w:val="1"/>
      <w:numFmt w:val="bullet"/>
      <w:lvlText w:val="•"/>
      <w:lvlJc w:val="left"/>
      <w:pPr>
        <w:tabs>
          <w:tab w:val="num" w:pos="5040"/>
        </w:tabs>
        <w:ind w:left="5040" w:hanging="360"/>
      </w:pPr>
      <w:rPr>
        <w:rFonts w:ascii="Arial" w:hAnsi="Arial" w:hint="default"/>
      </w:rPr>
    </w:lvl>
    <w:lvl w:ilvl="7" w:tplc="E6FE6406" w:tentative="1">
      <w:start w:val="1"/>
      <w:numFmt w:val="bullet"/>
      <w:lvlText w:val="•"/>
      <w:lvlJc w:val="left"/>
      <w:pPr>
        <w:tabs>
          <w:tab w:val="num" w:pos="5760"/>
        </w:tabs>
        <w:ind w:left="5760" w:hanging="360"/>
      </w:pPr>
      <w:rPr>
        <w:rFonts w:ascii="Arial" w:hAnsi="Arial" w:hint="default"/>
      </w:rPr>
    </w:lvl>
    <w:lvl w:ilvl="8" w:tplc="AF78167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EBC4377"/>
    <w:multiLevelType w:val="hybridMultilevel"/>
    <w:tmpl w:val="496AEF30"/>
    <w:lvl w:ilvl="0" w:tplc="F4808F7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D67"/>
    <w:rsid w:val="00020571"/>
    <w:rsid w:val="000531F3"/>
    <w:rsid w:val="00074BB7"/>
    <w:rsid w:val="0009047F"/>
    <w:rsid w:val="000A21B5"/>
    <w:rsid w:val="000B3996"/>
    <w:rsid w:val="000D6A3E"/>
    <w:rsid w:val="00171F5C"/>
    <w:rsid w:val="001B0D58"/>
    <w:rsid w:val="001E0841"/>
    <w:rsid w:val="00200CF3"/>
    <w:rsid w:val="002434D9"/>
    <w:rsid w:val="00253FAB"/>
    <w:rsid w:val="00272D66"/>
    <w:rsid w:val="00282DCF"/>
    <w:rsid w:val="00292421"/>
    <w:rsid w:val="002E04DB"/>
    <w:rsid w:val="002E5FB6"/>
    <w:rsid w:val="002F6324"/>
    <w:rsid w:val="0030524C"/>
    <w:rsid w:val="0032417A"/>
    <w:rsid w:val="003377BA"/>
    <w:rsid w:val="00352C4D"/>
    <w:rsid w:val="0035333F"/>
    <w:rsid w:val="00370960"/>
    <w:rsid w:val="0037179B"/>
    <w:rsid w:val="00394845"/>
    <w:rsid w:val="003B459E"/>
    <w:rsid w:val="003B7C8A"/>
    <w:rsid w:val="003C4BDB"/>
    <w:rsid w:val="003D04DF"/>
    <w:rsid w:val="00401C80"/>
    <w:rsid w:val="00403DF2"/>
    <w:rsid w:val="00423DCD"/>
    <w:rsid w:val="00441CA2"/>
    <w:rsid w:val="00451554"/>
    <w:rsid w:val="00462C55"/>
    <w:rsid w:val="00483186"/>
    <w:rsid w:val="0048709C"/>
    <w:rsid w:val="004B0F62"/>
    <w:rsid w:val="005357E2"/>
    <w:rsid w:val="00544085"/>
    <w:rsid w:val="00574E0B"/>
    <w:rsid w:val="005C30B2"/>
    <w:rsid w:val="005C3B49"/>
    <w:rsid w:val="005E74BD"/>
    <w:rsid w:val="00603A52"/>
    <w:rsid w:val="006177FF"/>
    <w:rsid w:val="006C4B0B"/>
    <w:rsid w:val="006C5AB4"/>
    <w:rsid w:val="006D4FB9"/>
    <w:rsid w:val="006F0C91"/>
    <w:rsid w:val="006F472F"/>
    <w:rsid w:val="00715BDF"/>
    <w:rsid w:val="00717B5A"/>
    <w:rsid w:val="007320C5"/>
    <w:rsid w:val="007377BF"/>
    <w:rsid w:val="00776F3B"/>
    <w:rsid w:val="00787712"/>
    <w:rsid w:val="00793408"/>
    <w:rsid w:val="007A0BEB"/>
    <w:rsid w:val="007E7820"/>
    <w:rsid w:val="00807A70"/>
    <w:rsid w:val="00815012"/>
    <w:rsid w:val="00881C74"/>
    <w:rsid w:val="00883B2E"/>
    <w:rsid w:val="008A2940"/>
    <w:rsid w:val="008A5117"/>
    <w:rsid w:val="008E4F61"/>
    <w:rsid w:val="008F3395"/>
    <w:rsid w:val="008F7935"/>
    <w:rsid w:val="0091121A"/>
    <w:rsid w:val="00916DA1"/>
    <w:rsid w:val="00943B69"/>
    <w:rsid w:val="00945C8B"/>
    <w:rsid w:val="00951BBA"/>
    <w:rsid w:val="00954552"/>
    <w:rsid w:val="00980D79"/>
    <w:rsid w:val="00994E5F"/>
    <w:rsid w:val="009A51CF"/>
    <w:rsid w:val="009D66DD"/>
    <w:rsid w:val="009F2370"/>
    <w:rsid w:val="00A16111"/>
    <w:rsid w:val="00A27D00"/>
    <w:rsid w:val="00A31117"/>
    <w:rsid w:val="00A36CEA"/>
    <w:rsid w:val="00A42D45"/>
    <w:rsid w:val="00A56EA9"/>
    <w:rsid w:val="00AA5060"/>
    <w:rsid w:val="00AB25ED"/>
    <w:rsid w:val="00AC1315"/>
    <w:rsid w:val="00AF09B3"/>
    <w:rsid w:val="00B14721"/>
    <w:rsid w:val="00B22091"/>
    <w:rsid w:val="00BB1CDD"/>
    <w:rsid w:val="00BC2CEE"/>
    <w:rsid w:val="00BD2D52"/>
    <w:rsid w:val="00C01D42"/>
    <w:rsid w:val="00C2177A"/>
    <w:rsid w:val="00C45A63"/>
    <w:rsid w:val="00C548A9"/>
    <w:rsid w:val="00C56E72"/>
    <w:rsid w:val="00C577F8"/>
    <w:rsid w:val="00C83089"/>
    <w:rsid w:val="00C83AD9"/>
    <w:rsid w:val="00CA4F62"/>
    <w:rsid w:val="00CB062C"/>
    <w:rsid w:val="00CB78AA"/>
    <w:rsid w:val="00CB7F74"/>
    <w:rsid w:val="00CE0CF3"/>
    <w:rsid w:val="00D023ED"/>
    <w:rsid w:val="00D054EF"/>
    <w:rsid w:val="00D17DE3"/>
    <w:rsid w:val="00D275DA"/>
    <w:rsid w:val="00D44CC4"/>
    <w:rsid w:val="00D520D2"/>
    <w:rsid w:val="00D670C5"/>
    <w:rsid w:val="00DA5C94"/>
    <w:rsid w:val="00DB4B5E"/>
    <w:rsid w:val="00DC1F94"/>
    <w:rsid w:val="00DC7E8E"/>
    <w:rsid w:val="00DD3DF2"/>
    <w:rsid w:val="00DF5F51"/>
    <w:rsid w:val="00E15948"/>
    <w:rsid w:val="00EA132B"/>
    <w:rsid w:val="00EC0FE2"/>
    <w:rsid w:val="00ED6D62"/>
    <w:rsid w:val="00EE6D67"/>
    <w:rsid w:val="00EF54F7"/>
    <w:rsid w:val="00F24FBD"/>
    <w:rsid w:val="00F3272A"/>
    <w:rsid w:val="00F3323D"/>
    <w:rsid w:val="00F37877"/>
    <w:rsid w:val="00F45595"/>
    <w:rsid w:val="00F9122F"/>
    <w:rsid w:val="00F94A2D"/>
    <w:rsid w:val="00FC58D7"/>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DBD3E"/>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D2D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038541">
      <w:bodyDiv w:val="1"/>
      <w:marLeft w:val="0"/>
      <w:marRight w:val="0"/>
      <w:marTop w:val="0"/>
      <w:marBottom w:val="0"/>
      <w:divBdr>
        <w:top w:val="none" w:sz="0" w:space="0" w:color="auto"/>
        <w:left w:val="none" w:sz="0" w:space="0" w:color="auto"/>
        <w:bottom w:val="none" w:sz="0" w:space="0" w:color="auto"/>
        <w:right w:val="none" w:sz="0" w:space="0" w:color="auto"/>
      </w:divBdr>
    </w:div>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 w:id="1380476991">
      <w:bodyDiv w:val="1"/>
      <w:marLeft w:val="0"/>
      <w:marRight w:val="0"/>
      <w:marTop w:val="0"/>
      <w:marBottom w:val="0"/>
      <w:divBdr>
        <w:top w:val="none" w:sz="0" w:space="0" w:color="auto"/>
        <w:left w:val="none" w:sz="0" w:space="0" w:color="auto"/>
        <w:bottom w:val="none" w:sz="0" w:space="0" w:color="auto"/>
        <w:right w:val="none" w:sz="0" w:space="0" w:color="auto"/>
      </w:divBdr>
      <w:divsChild>
        <w:div w:id="252665570">
          <w:marLeft w:val="360"/>
          <w:marRight w:val="0"/>
          <w:marTop w:val="200"/>
          <w:marBottom w:val="0"/>
          <w:divBdr>
            <w:top w:val="none" w:sz="0" w:space="0" w:color="auto"/>
            <w:left w:val="none" w:sz="0" w:space="0" w:color="auto"/>
            <w:bottom w:val="none" w:sz="0" w:space="0" w:color="auto"/>
            <w:right w:val="none" w:sz="0" w:space="0" w:color="auto"/>
          </w:divBdr>
        </w:div>
        <w:div w:id="513572752">
          <w:marLeft w:val="1080"/>
          <w:marRight w:val="0"/>
          <w:marTop w:val="100"/>
          <w:marBottom w:val="0"/>
          <w:divBdr>
            <w:top w:val="none" w:sz="0" w:space="0" w:color="auto"/>
            <w:left w:val="none" w:sz="0" w:space="0" w:color="auto"/>
            <w:bottom w:val="none" w:sz="0" w:space="0" w:color="auto"/>
            <w:right w:val="none" w:sz="0" w:space="0" w:color="auto"/>
          </w:divBdr>
        </w:div>
        <w:div w:id="1397633160">
          <w:marLeft w:val="1080"/>
          <w:marRight w:val="0"/>
          <w:marTop w:val="100"/>
          <w:marBottom w:val="0"/>
          <w:divBdr>
            <w:top w:val="none" w:sz="0" w:space="0" w:color="auto"/>
            <w:left w:val="none" w:sz="0" w:space="0" w:color="auto"/>
            <w:bottom w:val="none" w:sz="0" w:space="0" w:color="auto"/>
            <w:right w:val="none" w:sz="0" w:space="0" w:color="auto"/>
          </w:divBdr>
        </w:div>
        <w:div w:id="1843205774">
          <w:marLeft w:val="1080"/>
          <w:marRight w:val="0"/>
          <w:marTop w:val="100"/>
          <w:marBottom w:val="0"/>
          <w:divBdr>
            <w:top w:val="none" w:sz="0" w:space="0" w:color="auto"/>
            <w:left w:val="none" w:sz="0" w:space="0" w:color="auto"/>
            <w:bottom w:val="none" w:sz="0" w:space="0" w:color="auto"/>
            <w:right w:val="none" w:sz="0" w:space="0" w:color="auto"/>
          </w:divBdr>
        </w:div>
        <w:div w:id="160197209">
          <w:marLeft w:val="1800"/>
          <w:marRight w:val="0"/>
          <w:marTop w:val="100"/>
          <w:marBottom w:val="0"/>
          <w:divBdr>
            <w:top w:val="none" w:sz="0" w:space="0" w:color="auto"/>
            <w:left w:val="none" w:sz="0" w:space="0" w:color="auto"/>
            <w:bottom w:val="none" w:sz="0" w:space="0" w:color="auto"/>
            <w:right w:val="none" w:sz="0" w:space="0" w:color="auto"/>
          </w:divBdr>
        </w:div>
        <w:div w:id="908808276">
          <w:marLeft w:val="1800"/>
          <w:marRight w:val="0"/>
          <w:marTop w:val="100"/>
          <w:marBottom w:val="0"/>
          <w:divBdr>
            <w:top w:val="none" w:sz="0" w:space="0" w:color="auto"/>
            <w:left w:val="none" w:sz="0" w:space="0" w:color="auto"/>
            <w:bottom w:val="none" w:sz="0" w:space="0" w:color="auto"/>
            <w:right w:val="none" w:sz="0" w:space="0" w:color="auto"/>
          </w:divBdr>
        </w:div>
        <w:div w:id="1696930576">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08432-5580-4CB3-94A5-CE38E107E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1058</Words>
  <Characters>6033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3</cp:revision>
  <dcterms:created xsi:type="dcterms:W3CDTF">2018-09-28T21:13:00Z</dcterms:created>
  <dcterms:modified xsi:type="dcterms:W3CDTF">2018-09-28T21:13:00Z</dcterms:modified>
</cp:coreProperties>
</file>